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warehouse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basis: area, pallet or volume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Storage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Inward and outward handling 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 stock or SKU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Warehouse location and 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Exempt agricultural produce lines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Storage charges, ambient warehouse (per pallet position per month)</w:t>
            </w:r>
          </w:p>
        </w:tc>
        <w:tc>
          <w:tcPr>
            <w:tcW w:type="dxa" w:w="864"/>
          </w:tcPr>
          <w:p>
            <w:r>
              <w:t>996729</w:t>
            </w:r>
          </w:p>
        </w:tc>
        <w:tc>
          <w:tcPr>
            <w:tcW w:type="dxa" w:w="864"/>
          </w:tcPr>
          <w:p>
            <w:r>
              <w:t>180 PALLET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81,000.00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7,290.00</w:t>
            </w:r>
          </w:p>
        </w:tc>
        <w:tc>
          <w:tcPr>
            <w:tcW w:type="dxa" w:w="864"/>
          </w:tcPr>
          <w:p>
            <w:r>
              <w:t>7,290.00</w:t>
            </w:r>
          </w:p>
        </w:tc>
        <w:tc>
          <w:tcPr>
            <w:tcW w:type="dxa" w:w="864"/>
          </w:tcPr>
          <w:p>
            <w:r>
              <w:t>95,580.00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Storage charges, dedicated area (per sq ft per month)</w:t>
            </w:r>
          </w:p>
        </w:tc>
        <w:tc>
          <w:tcPr>
            <w:tcW w:type="dxa" w:w="864"/>
          </w:tcPr>
          <w:p>
            <w:r>
              <w:t>996729</w:t>
            </w:r>
          </w:p>
        </w:tc>
        <w:tc>
          <w:tcPr>
            <w:tcW w:type="dxa" w:w="864"/>
          </w:tcPr>
          <w:p>
            <w:r>
              <w:t>5000 SQFT</w:t>
            </w:r>
          </w:p>
        </w:tc>
        <w:tc>
          <w:tcPr>
            <w:tcW w:type="dxa" w:w="864"/>
          </w:tcPr>
          <w:p>
            <w:r>
              <w:t>22.00</w:t>
            </w:r>
          </w:p>
        </w:tc>
        <w:tc>
          <w:tcPr>
            <w:tcW w:type="dxa" w:w="864"/>
          </w:tcPr>
          <w:p>
            <w:r>
              <w:t>110,000.00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9,900.00</w:t>
            </w:r>
          </w:p>
        </w:tc>
        <w:tc>
          <w:tcPr>
            <w:tcW w:type="dxa" w:w="864"/>
          </w:tcPr>
          <w:p>
            <w:r>
              <w:t>9,900.00</w:t>
            </w:r>
          </w:p>
        </w:tc>
        <w:tc>
          <w:tcPr>
            <w:tcW w:type="dxa" w:w="864"/>
          </w:tcPr>
          <w:p>
            <w:r>
              <w:t>129,800.00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Refrigerated storage, chiller room (per pallet per month)</w:t>
            </w:r>
          </w:p>
        </w:tc>
        <w:tc>
          <w:tcPr>
            <w:tcW w:type="dxa" w:w="864"/>
          </w:tcPr>
          <w:p>
            <w:r>
              <w:t>996721</w:t>
            </w:r>
          </w:p>
        </w:tc>
        <w:tc>
          <w:tcPr>
            <w:tcW w:type="dxa" w:w="864"/>
          </w:tcPr>
          <w:p>
            <w:r>
              <w:t>20 PALLET</w:t>
            </w:r>
          </w:p>
        </w:tc>
        <w:tc>
          <w:tcPr>
            <w:tcW w:type="dxa" w:w="864"/>
          </w:tcPr>
          <w:p>
            <w:r>
              <w:t>1,600.00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37,760.00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Repacking and labelling of client goods</w:t>
            </w:r>
          </w:p>
        </w:tc>
        <w:tc>
          <w:tcPr>
            <w:tcW w:type="dxa" w:w="864"/>
          </w:tcPr>
          <w:p>
            <w:r>
              <w:t>998541</w:t>
            </w:r>
          </w:p>
        </w:tc>
        <w:tc>
          <w:tcPr>
            <w:tcW w:type="dxa" w:w="864"/>
          </w:tcPr>
          <w:p>
            <w:r>
              <w:t>600 CARTON</w:t>
            </w:r>
          </w:p>
        </w:tc>
        <w:tc>
          <w:tcPr>
            <w:tcW w:type="dxa" w:w="864"/>
          </w:tcPr>
          <w:p>
            <w:r>
              <w:t>6.00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4,248.00</w:t>
            </w:r>
          </w:p>
        </w:tc>
      </w:tr>
    </w:tbl>
    <w:p>
      <w:pPr>
        <w:jc w:val="right"/>
      </w:pPr>
      <w:r>
        <w:rPr>
          <w:b w:val="0"/>
        </w:rPr>
        <w:t>Taxable value: Rs. 226,600.00</w:t>
      </w:r>
    </w:p>
    <w:p>
      <w:pPr>
        <w:jc w:val="right"/>
      </w:pPr>
      <w:r>
        <w:rPr>
          <w:b w:val="0"/>
        </w:rPr>
        <w:t>CGST + SGST: Rs. 40,788.00</w:t>
      </w:r>
    </w:p>
    <w:p>
      <w:pPr>
        <w:jc w:val="right"/>
      </w:pPr>
      <w:r>
        <w:rPr>
          <w:b/>
        </w:rPr>
        <w:t>Invoice total: Rs. 267,388.00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