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scaffolding contractor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Scaffold type and specification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Erected area or component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Hire period from and to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Challan references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Lost and damaged components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Safety inspection tag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Erection and dismantling of cup-lock scaffolding for façade work</w:t>
            </w:r>
          </w:p>
        </w:tc>
        <w:tc>
          <w:tcPr>
            <w:tcW w:type="dxa" w:w="864"/>
          </w:tcPr>
          <w:p>
            <w:r>
              <w:t>995457</w:t>
            </w:r>
          </w:p>
        </w:tc>
        <w:tc>
          <w:tcPr>
            <w:tcW w:type="dxa" w:w="864"/>
          </w:tcPr>
          <w:p>
            <w:r>
              <w:t>1400 SQM</w:t>
            </w:r>
          </w:p>
        </w:tc>
        <w:tc>
          <w:tcPr>
            <w:tcW w:type="dxa" w:w="864"/>
          </w:tcPr>
          <w:p>
            <w:r>
              <w:t>85.00</w:t>
            </w:r>
          </w:p>
        </w:tc>
        <w:tc>
          <w:tcPr>
            <w:tcW w:type="dxa" w:w="864"/>
          </w:tcPr>
          <w:p>
            <w:r>
              <w:t>119,000.00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10,710.00</w:t>
            </w:r>
          </w:p>
        </w:tc>
        <w:tc>
          <w:tcPr>
            <w:tcW w:type="dxa" w:w="864"/>
          </w:tcPr>
          <w:p>
            <w:r>
              <w:t>10,710.00</w:t>
            </w:r>
          </w:p>
        </w:tc>
        <w:tc>
          <w:tcPr>
            <w:tcW w:type="dxa" w:w="864"/>
          </w:tcPr>
          <w:p>
            <w:r>
              <w:t>140,420.00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Hire of cup-lock scaffolding material, 1 to 31 October</w:t>
            </w:r>
          </w:p>
        </w:tc>
        <w:tc>
          <w:tcPr>
            <w:tcW w:type="dxa" w:w="864"/>
          </w:tcPr>
          <w:p>
            <w:r>
              <w:t>997313</w:t>
            </w:r>
          </w:p>
        </w:tc>
        <w:tc>
          <w:tcPr>
            <w:tcW w:type="dxa" w:w="864"/>
          </w:tcPr>
          <w:p>
            <w:r>
              <w:t>1400 SQM</w:t>
            </w:r>
          </w:p>
        </w:tc>
        <w:tc>
          <w:tcPr>
            <w:tcW w:type="dxa" w:w="864"/>
          </w:tcPr>
          <w:p>
            <w:r>
              <w:t>60.00</w:t>
            </w:r>
          </w:p>
        </w:tc>
        <w:tc>
          <w:tcPr>
            <w:tcW w:type="dxa" w:w="864"/>
          </w:tcPr>
          <w:p>
            <w:r>
              <w:t>84,000.00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7,560.00</w:t>
            </w:r>
          </w:p>
        </w:tc>
        <w:tc>
          <w:tcPr>
            <w:tcW w:type="dxa" w:w="864"/>
          </w:tcPr>
          <w:p>
            <w:r>
              <w:t>7,560.00</w:t>
            </w:r>
          </w:p>
        </w:tc>
        <w:tc>
          <w:tcPr>
            <w:tcW w:type="dxa" w:w="864"/>
          </w:tcPr>
          <w:p>
            <w:r>
              <w:t>99,120.00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Lost couplers charged at replacement value</w:t>
            </w:r>
          </w:p>
        </w:tc>
        <w:tc>
          <w:tcPr>
            <w:tcW w:type="dxa" w:w="864"/>
          </w:tcPr>
          <w:p>
            <w:r>
              <w:t>7308</w:t>
            </w:r>
          </w:p>
        </w:tc>
        <w:tc>
          <w:tcPr>
            <w:tcW w:type="dxa" w:w="864"/>
          </w:tcPr>
          <w:p>
            <w:r>
              <w:t>40 NOS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7,200.00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648.00</w:t>
            </w:r>
          </w:p>
        </w:tc>
        <w:tc>
          <w:tcPr>
            <w:tcW w:type="dxa" w:w="864"/>
          </w:tcPr>
          <w:p>
            <w:r>
              <w:t>648.00</w:t>
            </w:r>
          </w:p>
        </w:tc>
        <w:tc>
          <w:tcPr>
            <w:tcW w:type="dxa" w:w="864"/>
          </w:tcPr>
          <w:p>
            <w:r>
              <w:t>8,496.00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Transport of scaffolding material to site</w:t>
            </w:r>
          </w:p>
        </w:tc>
        <w:tc>
          <w:tcPr>
            <w:tcW w:type="dxa" w:w="864"/>
          </w:tcPr>
          <w:p>
            <w:r>
              <w:t>995457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1,080.00</w:t>
            </w:r>
          </w:p>
        </w:tc>
        <w:tc>
          <w:tcPr>
            <w:tcW w:type="dxa" w:w="864"/>
          </w:tcPr>
          <w:p>
            <w:r>
              <w:t>1,080.00</w:t>
            </w:r>
          </w:p>
        </w:tc>
        <w:tc>
          <w:tcPr>
            <w:tcW w:type="dxa" w:w="864"/>
          </w:tcPr>
          <w:p>
            <w:r>
              <w:t>14,160.00</w:t>
            </w:r>
          </w:p>
        </w:tc>
      </w:tr>
    </w:tbl>
    <w:p>
      <w:pPr>
        <w:jc w:val="right"/>
      </w:pPr>
      <w:r>
        <w:rPr>
          <w:b w:val="0"/>
        </w:rPr>
        <w:t>Taxable value: Rs. 222,200.00</w:t>
      </w:r>
    </w:p>
    <w:p>
      <w:pPr>
        <w:jc w:val="right"/>
      </w:pPr>
      <w:r>
        <w:rPr>
          <w:b w:val="0"/>
        </w:rPr>
        <w:t>CGST + SGST: Rs. 39,996.00</w:t>
      </w:r>
    </w:p>
    <w:p>
      <w:pPr>
        <w:jc w:val="right"/>
      </w:pPr>
      <w:r>
        <w:rPr>
          <w:b/>
        </w:rPr>
        <w:t>Invoice total: Rs. 262,196.00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