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payroll outsourcing company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Payroll month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Employee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Statutory filings done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 entity and state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Full-and-final settlements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model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Payroll processing, October 2026, per employee</w:t>
            </w:r>
          </w:p>
        </w:tc>
        <w:tc>
          <w:tcPr>
            <w:tcW w:type="dxa" w:w="864"/>
          </w:tcPr>
          <w:p>
            <w:r>
              <w:t>998223</w:t>
            </w:r>
          </w:p>
        </w:tc>
        <w:tc>
          <w:tcPr>
            <w:tcW w:type="dxa" w:w="864"/>
          </w:tcPr>
          <w:p>
            <w:r>
              <w:t>240 NOS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21,600.00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1,944.00</w:t>
            </w:r>
          </w:p>
        </w:tc>
        <w:tc>
          <w:tcPr>
            <w:tcW w:type="dxa" w:w="864"/>
          </w:tcPr>
          <w:p>
            <w:r>
              <w:t>1,944.00</w:t>
            </w:r>
          </w:p>
        </w:tc>
        <w:tc>
          <w:tcPr>
            <w:tcW w:type="dxa" w:w="864"/>
          </w:tcPr>
          <w:p>
            <w:r>
              <w:t>25,488.00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PF and ESIC monthly returns and challan preparation</w:t>
            </w:r>
          </w:p>
        </w:tc>
        <w:tc>
          <w:tcPr>
            <w:tcW w:type="dxa" w:w="864"/>
          </w:tcPr>
          <w:p>
            <w:r>
              <w:t>998223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315.00</w:t>
            </w:r>
          </w:p>
        </w:tc>
        <w:tc>
          <w:tcPr>
            <w:tcW w:type="dxa" w:w="864"/>
          </w:tcPr>
          <w:p>
            <w:r>
              <w:t>315.00</w:t>
            </w:r>
          </w:p>
        </w:tc>
        <w:tc>
          <w:tcPr>
            <w:tcW w:type="dxa" w:w="864"/>
          </w:tcPr>
          <w:p>
            <w:r>
              <w:t>4,130.00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Quarterly TDS return on salaries, Form 24Q, Q2</w:t>
            </w:r>
          </w:p>
        </w:tc>
        <w:tc>
          <w:tcPr>
            <w:tcW w:type="dxa" w:w="864"/>
          </w:tcPr>
          <w:p>
            <w:r>
              <w:t>998239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4,000.00</w:t>
            </w:r>
          </w:p>
        </w:tc>
        <w:tc>
          <w:tcPr>
            <w:tcW w:type="dxa" w:w="864"/>
          </w:tcPr>
          <w:p>
            <w:r>
              <w:t>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4,720.00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Full-and-final settlement processing</w:t>
            </w:r>
          </w:p>
        </w:tc>
        <w:tc>
          <w:tcPr>
            <w:tcW w:type="dxa" w:w="864"/>
          </w:tcPr>
          <w:p>
            <w:r>
              <w:t>998223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216.00</w:t>
            </w:r>
          </w:p>
        </w:tc>
        <w:tc>
          <w:tcPr>
            <w:tcW w:type="dxa" w:w="864"/>
          </w:tcPr>
          <w:p>
            <w:r>
              <w:t>216.00</w:t>
            </w:r>
          </w:p>
        </w:tc>
        <w:tc>
          <w:tcPr>
            <w:tcW w:type="dxa" w:w="864"/>
          </w:tcPr>
          <w:p>
            <w:r>
              <w:t>2,832.00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Payslip portal and employee helpdesk, monthly</w:t>
            </w:r>
          </w:p>
        </w:tc>
        <w:tc>
          <w:tcPr>
            <w:tcW w:type="dxa" w:w="864"/>
          </w:tcPr>
          <w:p>
            <w:r>
              <w:t>998223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5,000.00</w:t>
            </w:r>
          </w:p>
        </w:tc>
        <w:tc>
          <w:tcPr>
            <w:tcW w:type="dxa" w:w="864"/>
          </w:tcPr>
          <w:p>
            <w:r>
              <w:t>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5,900.00</w:t>
            </w:r>
          </w:p>
        </w:tc>
      </w:tr>
    </w:tbl>
    <w:p>
      <w:pPr>
        <w:jc w:val="right"/>
      </w:pPr>
      <w:r>
        <w:rPr>
          <w:b w:val="0"/>
        </w:rPr>
        <w:t>Taxable value: Rs. 36,500.00</w:t>
      </w:r>
    </w:p>
    <w:p>
      <w:pPr>
        <w:jc w:val="right"/>
      </w:pPr>
      <w:r>
        <w:rPr>
          <w:b w:val="0"/>
        </w:rPr>
        <w:t>CGST + SGST: Rs. 6,570.00</w:t>
      </w:r>
    </w:p>
    <w:p>
      <w:pPr>
        <w:jc w:val="right"/>
      </w:pPr>
      <w:r>
        <w:rPr>
          <w:b/>
        </w:rPr>
        <w:t>Invoice total: Rs. 43,070.00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