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paint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Shade code and tinting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Base and product 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quantity in litres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Painter or contractor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address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Interior acrylic emulsion, tinted shade 7134 (20 L)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40 LTR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11,400.00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1,026.00</w:t>
            </w:r>
          </w:p>
        </w:tc>
        <w:tc>
          <w:tcPr>
            <w:tcW w:type="dxa" w:w="864"/>
          </w:tcPr>
          <w:p>
            <w:r>
              <w:t>1,026.00</w:t>
            </w:r>
          </w:p>
        </w:tc>
        <w:tc>
          <w:tcPr>
            <w:tcW w:type="dxa" w:w="864"/>
          </w:tcPr>
          <w:p>
            <w:r>
              <w:t>13,452.00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Synthetic enamel gloss, white (4 L)</w:t>
            </w:r>
          </w:p>
        </w:tc>
        <w:tc>
          <w:tcPr>
            <w:tcW w:type="dxa" w:w="864"/>
          </w:tcPr>
          <w:p>
            <w:r>
              <w:t>3208</w:t>
            </w:r>
          </w:p>
        </w:tc>
        <w:tc>
          <w:tcPr>
            <w:tcW w:type="dxa" w:w="864"/>
          </w:tcPr>
          <w:p>
            <w:r>
              <w:t>8 LTR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2,720.00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244.80</w:t>
            </w:r>
          </w:p>
        </w:tc>
        <w:tc>
          <w:tcPr>
            <w:tcW w:type="dxa" w:w="864"/>
          </w:tcPr>
          <w:p>
            <w:r>
              <w:t>244.80</w:t>
            </w:r>
          </w:p>
        </w:tc>
        <w:tc>
          <w:tcPr>
            <w:tcW w:type="dxa" w:w="864"/>
          </w:tcPr>
          <w:p>
            <w:r>
              <w:t>3,209.60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Interior wall primer, water-based (10 L)</w:t>
            </w:r>
          </w:p>
        </w:tc>
        <w:tc>
          <w:tcPr>
            <w:tcW w:type="dxa" w:w="864"/>
          </w:tcPr>
          <w:p>
            <w:r>
              <w:t>3209</w:t>
            </w:r>
          </w:p>
        </w:tc>
        <w:tc>
          <w:tcPr>
            <w:tcW w:type="dxa" w:w="864"/>
          </w:tcPr>
          <w:p>
            <w:r>
              <w:t>20 LTR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324.00</w:t>
            </w:r>
          </w:p>
        </w:tc>
        <w:tc>
          <w:tcPr>
            <w:tcW w:type="dxa" w:w="864"/>
          </w:tcPr>
          <w:p>
            <w:r>
              <w:t>324.00</w:t>
            </w:r>
          </w:p>
        </w:tc>
        <w:tc>
          <w:tcPr>
            <w:tcW w:type="dxa" w:w="864"/>
          </w:tcPr>
          <w:p>
            <w:r>
              <w:t>4,248.00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Wall putty, acrylic (5 kg tub)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20 KGS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Paint brush 4 inch</w:t>
            </w:r>
          </w:p>
        </w:tc>
        <w:tc>
          <w:tcPr>
            <w:tcW w:type="dxa" w:w="864"/>
          </w:tcPr>
          <w:p>
            <w:r>
              <w:t>9603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57.60</w:t>
            </w:r>
          </w:p>
        </w:tc>
        <w:tc>
          <w:tcPr>
            <w:tcW w:type="dxa" w:w="864"/>
          </w:tcPr>
          <w:p>
            <w:r>
              <w:t>57.60</w:t>
            </w:r>
          </w:p>
        </w:tc>
        <w:tc>
          <w:tcPr>
            <w:tcW w:type="dxa" w:w="864"/>
          </w:tcPr>
          <w:p>
            <w:r>
              <w:t>755.20</w:t>
            </w:r>
          </w:p>
        </w:tc>
      </w:tr>
    </w:tbl>
    <w:p>
      <w:pPr>
        <w:jc w:val="right"/>
      </w:pPr>
      <w:r>
        <w:rPr>
          <w:b w:val="0"/>
        </w:rPr>
        <w:t>Taxable value: Rs. 19,860.00</w:t>
      </w:r>
    </w:p>
    <w:p>
      <w:pPr>
        <w:jc w:val="right"/>
      </w:pPr>
      <w:r>
        <w:rPr>
          <w:b w:val="0"/>
        </w:rPr>
        <w:t>CGST + SGST: Rs. 3,574.80</w:t>
      </w:r>
    </w:p>
    <w:p>
      <w:pPr>
        <w:jc w:val="right"/>
      </w:pPr>
      <w:r>
        <w:rPr>
          <w:b/>
        </w:rPr>
        <w:t>Invoice total: Rs. 23,434.80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