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management consultant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Statement of work or PO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Milestone and acceptance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Consultant days by grade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Expense recovery basis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LUT reference for export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Operations diagnostic, phase 1 milestone: current-state assessment report</w:t>
            </w:r>
          </w:p>
        </w:tc>
        <w:tc>
          <w:tcPr>
            <w:tcW w:type="dxa" w:w="864"/>
          </w:tcPr>
          <w:p>
            <w:r>
              <w:t>998311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400,000.00</w:t>
            </w:r>
          </w:p>
        </w:tc>
        <w:tc>
          <w:tcPr>
            <w:tcW w:type="dxa" w:w="864"/>
          </w:tcPr>
          <w:p>
            <w:r>
              <w:t>400,000.00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36,000.00</w:t>
            </w:r>
          </w:p>
        </w:tc>
        <w:tc>
          <w:tcPr>
            <w:tcW w:type="dxa" w:w="864"/>
          </w:tcPr>
          <w:p>
            <w:r>
              <w:t>36,000.00</w:t>
            </w:r>
          </w:p>
        </w:tc>
        <w:tc>
          <w:tcPr>
            <w:tcW w:type="dxa" w:w="864"/>
          </w:tcPr>
          <w:p>
            <w:r>
              <w:t>472,000.00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Senior consultant days, process redesign workstream</w:t>
            </w:r>
          </w:p>
        </w:tc>
        <w:tc>
          <w:tcPr>
            <w:tcW w:type="dxa" w:w="864"/>
          </w:tcPr>
          <w:p>
            <w:r>
              <w:t>998311</w:t>
            </w:r>
          </w:p>
        </w:tc>
        <w:tc>
          <w:tcPr>
            <w:tcW w:type="dxa" w:w="864"/>
          </w:tcPr>
          <w:p>
            <w:r>
              <w:t>12 OTH</w:t>
            </w:r>
          </w:p>
        </w:tc>
        <w:tc>
          <w:tcPr>
            <w:tcW w:type="dxa" w:w="864"/>
          </w:tcPr>
          <w:p>
            <w:r>
              <w:t>25,000.00</w:t>
            </w:r>
          </w:p>
        </w:tc>
        <w:tc>
          <w:tcPr>
            <w:tcW w:type="dxa" w:w="864"/>
          </w:tcPr>
          <w:p>
            <w:r>
              <w:t>300,000.00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27,000.00</w:t>
            </w:r>
          </w:p>
        </w:tc>
        <w:tc>
          <w:tcPr>
            <w:tcW w:type="dxa" w:w="864"/>
          </w:tcPr>
          <w:p>
            <w:r>
              <w:t>27,000.00</w:t>
            </w:r>
          </w:p>
        </w:tc>
        <w:tc>
          <w:tcPr>
            <w:tcW w:type="dxa" w:w="864"/>
          </w:tcPr>
          <w:p>
            <w:r>
              <w:t>354,000.00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HR policy and grading structure advisory</w:t>
            </w:r>
          </w:p>
        </w:tc>
        <w:tc>
          <w:tcPr>
            <w:tcW w:type="dxa" w:w="864"/>
          </w:tcPr>
          <w:p>
            <w:r>
              <w:t>998311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180,000.00</w:t>
            </w:r>
          </w:p>
        </w:tc>
        <w:tc>
          <w:tcPr>
            <w:tcW w:type="dxa" w:w="864"/>
          </w:tcPr>
          <w:p>
            <w:r>
              <w:t>180,000.00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16,200.00</w:t>
            </w:r>
          </w:p>
        </w:tc>
        <w:tc>
          <w:tcPr>
            <w:tcW w:type="dxa" w:w="864"/>
          </w:tcPr>
          <w:p>
            <w:r>
              <w:t>16,200.00</w:t>
            </w:r>
          </w:p>
        </w:tc>
        <w:tc>
          <w:tcPr>
            <w:tcW w:type="dxa" w:w="864"/>
          </w:tcPr>
          <w:p>
            <w:r>
              <w:t>212,400.00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Stakeholder communication and media relations support, one month</w:t>
            </w:r>
          </w:p>
        </w:tc>
        <w:tc>
          <w:tcPr>
            <w:tcW w:type="dxa" w:w="864"/>
          </w:tcPr>
          <w:p>
            <w:r>
              <w:t>998312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90,000.00</w:t>
            </w:r>
          </w:p>
        </w:tc>
        <w:tc>
          <w:tcPr>
            <w:tcW w:type="dxa" w:w="864"/>
          </w:tcPr>
          <w:p>
            <w:r>
              <w:t>90,000.00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8,100.00</w:t>
            </w:r>
          </w:p>
        </w:tc>
        <w:tc>
          <w:tcPr>
            <w:tcW w:type="dxa" w:w="864"/>
          </w:tcPr>
          <w:p>
            <w:r>
              <w:t>8,100.00</w:t>
            </w:r>
          </w:p>
        </w:tc>
        <w:tc>
          <w:tcPr>
            <w:tcW w:type="dxa" w:w="864"/>
          </w:tcPr>
          <w:p>
            <w:r>
              <w:t>106,200.00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Travel and lodging recovered at actuals for site visits</w:t>
            </w:r>
          </w:p>
        </w:tc>
        <w:tc>
          <w:tcPr>
            <w:tcW w:type="dxa" w:w="864"/>
          </w:tcPr>
          <w:p>
            <w:r>
              <w:t>998311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42,500.00</w:t>
            </w:r>
          </w:p>
        </w:tc>
        <w:tc>
          <w:tcPr>
            <w:tcW w:type="dxa" w:w="864"/>
          </w:tcPr>
          <w:p>
            <w:r>
              <w:t>42,500.00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3,825.00</w:t>
            </w:r>
          </w:p>
        </w:tc>
        <w:tc>
          <w:tcPr>
            <w:tcW w:type="dxa" w:w="864"/>
          </w:tcPr>
          <w:p>
            <w:r>
              <w:t>3,825.00</w:t>
            </w:r>
          </w:p>
        </w:tc>
        <w:tc>
          <w:tcPr>
            <w:tcW w:type="dxa" w:w="864"/>
          </w:tcPr>
          <w:p>
            <w:r>
              <w:t>50,150.00</w:t>
            </w:r>
          </w:p>
        </w:tc>
      </w:tr>
    </w:tbl>
    <w:p>
      <w:pPr>
        <w:jc w:val="right"/>
      </w:pPr>
      <w:r>
        <w:rPr>
          <w:b w:val="0"/>
        </w:rPr>
        <w:t>Taxable value: Rs. 1,012,500.00</w:t>
      </w:r>
    </w:p>
    <w:p>
      <w:pPr>
        <w:jc w:val="right"/>
      </w:pPr>
      <w:r>
        <w:rPr>
          <w:b w:val="0"/>
        </w:rPr>
        <w:t>CGST + SGST: Rs. 182,250.00</w:t>
      </w:r>
    </w:p>
    <w:p>
      <w:pPr>
        <w:jc w:val="right"/>
      </w:pPr>
      <w:r>
        <w:rPr>
          <w:b/>
        </w:rPr>
        <w:t>Invoice total: Rs. 1,194,750.00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