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homeopathy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Homeopathic council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Course duration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Medicines included or charged separately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 of consultation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Patient name and age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First consultation with detailed case-taking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Follow-up consultation with 15-day medicines dispensed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Homeopathic mother tincture 30 ml (retail)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3.50</w:t>
            </w:r>
          </w:p>
        </w:tc>
        <w:tc>
          <w:tcPr>
            <w:tcW w:type="dxa" w:w="864"/>
          </w:tcPr>
          <w:p>
            <w:r>
              <w:t>3.50</w:t>
            </w:r>
          </w:p>
        </w:tc>
        <w:tc>
          <w:tcPr>
            <w:tcW w:type="dxa" w:w="864"/>
          </w:tcPr>
          <w:p>
            <w:r>
              <w:t>147.00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Biochemic tablets 25 g (retail)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 BTL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231.00</w:t>
            </w:r>
          </w:p>
        </w:tc>
      </w:tr>
    </w:tbl>
    <w:p>
      <w:pPr>
        <w:jc w:val="right"/>
      </w:pPr>
      <w:r>
        <w:rPr>
          <w:b w:val="0"/>
        </w:rPr>
        <w:t>Taxable value: Rs. 1,760.00</w:t>
      </w:r>
    </w:p>
    <w:p>
      <w:pPr>
        <w:jc w:val="right"/>
      </w:pPr>
      <w:r>
        <w:rPr>
          <w:b w:val="0"/>
        </w:rPr>
        <w:t>CGST + SGST: Rs. 18.00</w:t>
      </w:r>
    </w:p>
    <w:p>
      <w:pPr>
        <w:jc w:val="right"/>
      </w:pPr>
      <w:r>
        <w:rPr>
          <w:b/>
        </w:rPr>
        <w:t>Invoice total: Rs. 1,778.00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