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furniture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 or design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Primary material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Finish and colour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Dimensions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Office workstation table 1200x600 mm, pre-laminated particle board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6,800.00</w:t>
            </w:r>
          </w:p>
        </w:tc>
        <w:tc>
          <w:tcPr>
            <w:tcW w:type="dxa" w:w="864"/>
          </w:tcPr>
          <w:p>
            <w:r>
              <w:t>136,000.00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12,240.00</w:t>
            </w:r>
          </w:p>
        </w:tc>
        <w:tc>
          <w:tcPr>
            <w:tcW w:type="dxa" w:w="864"/>
          </w:tcPr>
          <w:p>
            <w:r>
              <w:t>12,240.00</w:t>
            </w:r>
          </w:p>
        </w:tc>
        <w:tc>
          <w:tcPr>
            <w:tcW w:type="dxa" w:w="864"/>
          </w:tcPr>
          <w:p>
            <w:r>
              <w:t>160,480.00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Ergonomic office chair with arms, mesh back</w:t>
            </w:r>
          </w:p>
        </w:tc>
        <w:tc>
          <w:tcPr>
            <w:tcW w:type="dxa" w:w="864"/>
          </w:tcPr>
          <w:p>
            <w:r>
              <w:t>9401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104,000.00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9,360.00</w:t>
            </w:r>
          </w:p>
        </w:tc>
        <w:tc>
          <w:tcPr>
            <w:tcW w:type="dxa" w:w="864"/>
          </w:tcPr>
          <w:p>
            <w:r>
              <w:t>9,360.00</w:t>
            </w:r>
          </w:p>
        </w:tc>
        <w:tc>
          <w:tcPr>
            <w:tcW w:type="dxa" w:w="864"/>
          </w:tcPr>
          <w:p>
            <w:r>
              <w:t>122,720.00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Teak wood double bed 1950x1500 mm with headboard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38,500.00</w:t>
            </w:r>
          </w:p>
        </w:tc>
        <w:tc>
          <w:tcPr>
            <w:tcW w:type="dxa" w:w="864"/>
          </w:tcPr>
          <w:p>
            <w:r>
              <w:t>77,000.00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6,930.00</w:t>
            </w:r>
          </w:p>
        </w:tc>
        <w:tc>
          <w:tcPr>
            <w:tcW w:type="dxa" w:w="864"/>
          </w:tcPr>
          <w:p>
            <w:r>
              <w:t>6,930.00</w:t>
            </w:r>
          </w:p>
        </w:tc>
        <w:tc>
          <w:tcPr>
            <w:tcW w:type="dxa" w:w="864"/>
          </w:tcPr>
          <w:p>
            <w:r>
              <w:t>90,860.00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Cane centre table, wholly of cane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25,200.00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  <w:tc>
          <w:tcPr>
            <w:tcW w:type="dxa" w:w="864"/>
          </w:tcPr>
          <w:p>
            <w:r>
              <w:t>26,460.00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Steel storage cupboard 4-shelf, powder coated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9,800.00</w:t>
            </w:r>
          </w:p>
        </w:tc>
        <w:tc>
          <w:tcPr>
            <w:tcW w:type="dxa" w:w="864"/>
          </w:tcPr>
          <w:p>
            <w:r>
              <w:t>98,000.00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8,820.00</w:t>
            </w:r>
          </w:p>
        </w:tc>
        <w:tc>
          <w:tcPr>
            <w:tcW w:type="dxa" w:w="864"/>
          </w:tcPr>
          <w:p>
            <w:r>
              <w:t>8,820.00</w:t>
            </w:r>
          </w:p>
        </w:tc>
        <w:tc>
          <w:tcPr>
            <w:tcW w:type="dxa" w:w="864"/>
          </w:tcPr>
          <w:p>
            <w:r>
              <w:t>115,640.00</w:t>
            </w:r>
          </w:p>
        </w:tc>
      </w:tr>
    </w:tbl>
    <w:p>
      <w:pPr>
        <w:jc w:val="right"/>
      </w:pPr>
      <w:r>
        <w:rPr>
          <w:b w:val="0"/>
        </w:rPr>
        <w:t>Taxable value: Rs. 440,200.00</w:t>
      </w:r>
    </w:p>
    <w:p>
      <w:pPr>
        <w:jc w:val="right"/>
      </w:pPr>
      <w:r>
        <w:rPr>
          <w:b w:val="0"/>
        </w:rPr>
        <w:t>CGST + SGST: Rs. 75,960.00</w:t>
      </w:r>
    </w:p>
    <w:p>
      <w:pPr>
        <w:jc w:val="right"/>
      </w:pPr>
      <w:r>
        <w:rPr>
          <w:b/>
        </w:rPr>
        <w:t>Invoice total: Rs. 516,160.00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