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dialysis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Session dates and duration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Dialyser new or reuse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Nephrologist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Scheme or insurer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Vascular access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Injections given during session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Dry weight and pre/post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Hepatitis and HIV status flag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Haemodialysis session (4 hours)</w:t>
            </w:r>
          </w:p>
        </w:tc>
        <w:tc>
          <w:tcPr>
            <w:tcW w:type="dxa" w:w="864"/>
          </w:tcPr>
          <w:p>
            <w:r>
              <w:t>999311</w:t>
            </w:r>
          </w:p>
        </w:tc>
        <w:tc>
          <w:tcPr>
            <w:tcW w:type="dxa" w:w="864"/>
          </w:tcPr>
          <w:p>
            <w:r>
              <w:t>12 SESSION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21,600.00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21,600.00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New dialyser and bloodline set</w:t>
            </w:r>
          </w:p>
        </w:tc>
        <w:tc>
          <w:tcPr>
            <w:tcW w:type="dxa" w:w="864"/>
          </w:tcPr>
          <w:p>
            <w:r>
              <w:t>999311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Nephrologist review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2 VISIT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Erythropoietin injection given during session</w:t>
            </w:r>
          </w:p>
        </w:tc>
        <w:tc>
          <w:tcPr>
            <w:tcW w:type="dxa" w:w="864"/>
          </w:tcPr>
          <w:p>
            <w:r>
              <w:t>999311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</w:tr>
    </w:tbl>
    <w:p>
      <w:pPr>
        <w:jc w:val="right"/>
      </w:pPr>
      <w:r>
        <w:rPr>
          <w:b w:val="0"/>
        </w:rPr>
        <w:t>Taxable value: Rs. 27,800.00</w:t>
      </w:r>
    </w:p>
    <w:p>
      <w:pPr>
        <w:jc w:val="right"/>
      </w:pPr>
      <w:r>
        <w:rPr>
          <w:b w:val="0"/>
        </w:rPr>
        <w:t>CGST + SGST: Rs. 0.00</w:t>
      </w:r>
    </w:p>
    <w:p>
      <w:pPr>
        <w:jc w:val="right"/>
      </w:pPr>
      <w:r>
        <w:rPr>
          <w:b/>
        </w:rPr>
        <w:t>Invoice total: Rs. 27,800.00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