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 firm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ICAI firm registration number (FRN)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Engagement and assessment year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UDIN reference for attest work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Signing partner name and membership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Pure-agent disbursements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Retainer period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Statutory audit fee, FY 2025-26</w:t>
            </w:r>
          </w:p>
        </w:tc>
        <w:tc>
          <w:tcPr>
            <w:tcW w:type="dxa" w:w="864"/>
          </w:tcPr>
          <w:p>
            <w:r>
              <w:t>998221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13,500.00</w:t>
            </w:r>
          </w:p>
        </w:tc>
        <w:tc>
          <w:tcPr>
            <w:tcW w:type="dxa" w:w="864"/>
          </w:tcPr>
          <w:p>
            <w:r>
              <w:t>13,500.00</w:t>
            </w:r>
          </w:p>
        </w:tc>
        <w:tc>
          <w:tcPr>
            <w:tcW w:type="dxa" w:w="864"/>
          </w:tcPr>
          <w:p>
            <w:r>
              <w:t>177,000.00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Tax audit under section 44AB with Form 3CD, AY 2026-27</w:t>
            </w:r>
          </w:p>
        </w:tc>
        <w:tc>
          <w:tcPr>
            <w:tcW w:type="dxa" w:w="864"/>
          </w:tcPr>
          <w:p>
            <w:r>
              <w:t>998231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53,100.00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Monthly bookkeeping and ledger finalisation, April to June 2026</w:t>
            </w:r>
          </w:p>
        </w:tc>
        <w:tc>
          <w:tcPr>
            <w:tcW w:type="dxa" w:w="864"/>
          </w:tcPr>
          <w:p>
            <w:r>
              <w:t>998222</w:t>
            </w:r>
          </w:p>
        </w:tc>
        <w:tc>
          <w:tcPr>
            <w:tcW w:type="dxa" w:w="864"/>
          </w:tcPr>
          <w:p>
            <w:r>
              <w:t>3 OTH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3,240.00</w:t>
            </w:r>
          </w:p>
        </w:tc>
        <w:tc>
          <w:tcPr>
            <w:tcW w:type="dxa" w:w="864"/>
          </w:tcPr>
          <w:p>
            <w:r>
              <w:t>3,240.00</w:t>
            </w:r>
          </w:p>
        </w:tc>
        <w:tc>
          <w:tcPr>
            <w:tcW w:type="dxa" w:w="864"/>
          </w:tcPr>
          <w:p>
            <w:r>
              <w:t>42,480.00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GST return preparation and filing (GSTR-1 and GSTR-3B), quarterly</w:t>
            </w:r>
          </w:p>
        </w:tc>
        <w:tc>
          <w:tcPr>
            <w:tcW w:type="dxa" w:w="864"/>
          </w:tcPr>
          <w:p>
            <w:r>
              <w:t>998239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Payroll processing for 40 employees, one month</w:t>
            </w:r>
          </w:p>
        </w:tc>
        <w:tc>
          <w:tcPr>
            <w:tcW w:type="dxa" w:w="864"/>
          </w:tcPr>
          <w:p>
            <w:r>
              <w:t>998223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8,000.00</w:t>
            </w:r>
          </w:p>
        </w:tc>
        <w:tc>
          <w:tcPr>
            <w:tcW w:type="dxa" w:w="864"/>
          </w:tcPr>
          <w:p>
            <w:r>
              <w:t>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720.00</w:t>
            </w:r>
          </w:p>
        </w:tc>
        <w:tc>
          <w:tcPr>
            <w:tcW w:type="dxa" w:w="864"/>
          </w:tcPr>
          <w:p>
            <w:r>
              <w:t>720.00</w:t>
            </w:r>
          </w:p>
        </w:tc>
        <w:tc>
          <w:tcPr>
            <w:tcW w:type="dxa" w:w="864"/>
          </w:tcPr>
          <w:p>
            <w:r>
              <w:t>9,440.00</w:t>
            </w:r>
          </w:p>
        </w:tc>
      </w:tr>
    </w:tbl>
    <w:p>
      <w:pPr>
        <w:jc w:val="right"/>
      </w:pPr>
      <w:r>
        <w:rPr>
          <w:b w:val="0"/>
        </w:rPr>
        <w:t>Taxable value: Rs. 257,000.00</w:t>
      </w:r>
    </w:p>
    <w:p>
      <w:pPr>
        <w:jc w:val="right"/>
      </w:pPr>
      <w:r>
        <w:rPr>
          <w:b w:val="0"/>
        </w:rPr>
        <w:t>CGST + SGST: Rs. 46,260.00</w:t>
      </w:r>
    </w:p>
    <w:p>
      <w:pPr>
        <w:jc w:val="right"/>
      </w:pPr>
      <w:r>
        <w:rPr>
          <w:b/>
        </w:rPr>
        <w:t>Invoice total: Rs. 303,260.00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