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bpo and call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Process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unit and volume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SLA performance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month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location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Telecom and technology pass-through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Inbound customer support, dedicated seats, October 2026</w:t>
            </w:r>
          </w:p>
        </w:tc>
        <w:tc>
          <w:tcPr>
            <w:tcW w:type="dxa" w:w="864"/>
          </w:tcPr>
          <w:p>
            <w:r>
              <w:t>998593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45,000.00</w:t>
            </w:r>
          </w:p>
        </w:tc>
        <w:tc>
          <w:tcPr>
            <w:tcW w:type="dxa" w:w="864"/>
          </w:tcPr>
          <w:p>
            <w:r>
              <w:t>900,000.00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81,000.00</w:t>
            </w:r>
          </w:p>
        </w:tc>
        <w:tc>
          <w:tcPr>
            <w:tcW w:type="dxa" w:w="864"/>
          </w:tcPr>
          <w:p>
            <w:r>
              <w:t>81,000.00</w:t>
            </w:r>
          </w:p>
        </w:tc>
        <w:tc>
          <w:tcPr>
            <w:tcW w:type="dxa" w:w="864"/>
          </w:tcPr>
          <w:p>
            <w:r>
              <w:t>1,062,000.00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Outbound lead qualification calls, per productive hour</w:t>
            </w:r>
          </w:p>
        </w:tc>
        <w:tc>
          <w:tcPr>
            <w:tcW w:type="dxa" w:w="864"/>
          </w:tcPr>
          <w:p>
            <w:r>
              <w:t>998593</w:t>
            </w:r>
          </w:p>
        </w:tc>
        <w:tc>
          <w:tcPr>
            <w:tcW w:type="dxa" w:w="864"/>
          </w:tcPr>
          <w:p>
            <w:r>
              <w:t>1600 NOS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560,000.00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50,400.00</w:t>
            </w:r>
          </w:p>
        </w:tc>
        <w:tc>
          <w:tcPr>
            <w:tcW w:type="dxa" w:w="864"/>
          </w:tcPr>
          <w:p>
            <w:r>
              <w:t>50,400.00</w:t>
            </w:r>
          </w:p>
        </w:tc>
        <w:tc>
          <w:tcPr>
            <w:tcW w:type="dxa" w:w="864"/>
          </w:tcPr>
          <w:p>
            <w:r>
              <w:t>660,800.00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Email and chat support, per ticket resolved</w:t>
            </w:r>
          </w:p>
        </w:tc>
        <w:tc>
          <w:tcPr>
            <w:tcW w:type="dxa" w:w="864"/>
          </w:tcPr>
          <w:p>
            <w:r>
              <w:t>998593</w:t>
            </w:r>
          </w:p>
        </w:tc>
        <w:tc>
          <w:tcPr>
            <w:tcW w:type="dxa" w:w="864"/>
          </w:tcPr>
          <w:p>
            <w:r>
              <w:t>5000 NOS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175,000.00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15,750.00</w:t>
            </w:r>
          </w:p>
        </w:tc>
        <w:tc>
          <w:tcPr>
            <w:tcW w:type="dxa" w:w="864"/>
          </w:tcPr>
          <w:p>
            <w:r>
              <w:t>15,750.00</w:t>
            </w:r>
          </w:p>
        </w:tc>
        <w:tc>
          <w:tcPr>
            <w:tcW w:type="dxa" w:w="864"/>
          </w:tcPr>
          <w:p>
            <w:r>
              <w:t>206,500.00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Back-office data processing and document indexing</w:t>
            </w:r>
          </w:p>
        </w:tc>
        <w:tc>
          <w:tcPr>
            <w:tcW w:type="dxa" w:w="864"/>
          </w:tcPr>
          <w:p>
            <w:r>
              <w:t>998594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85,000.00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7,650.00</w:t>
            </w:r>
          </w:p>
        </w:tc>
        <w:tc>
          <w:tcPr>
            <w:tcW w:type="dxa" w:w="864"/>
          </w:tcPr>
          <w:p>
            <w:r>
              <w:t>7,650.00</w:t>
            </w:r>
          </w:p>
        </w:tc>
        <w:tc>
          <w:tcPr>
            <w:tcW w:type="dxa" w:w="864"/>
          </w:tcPr>
          <w:p>
            <w:r>
              <w:t>100,300.00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SLA penalty for service level below 80% in week 2</w:t>
            </w:r>
          </w:p>
        </w:tc>
        <w:tc>
          <w:tcPr>
            <w:tcW w:type="dxa" w:w="864"/>
          </w:tcPr>
          <w:p>
            <w:r>
              <w:t>998593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-15,000.00</w:t>
            </w:r>
          </w:p>
        </w:tc>
        <w:tc>
          <w:tcPr>
            <w:tcW w:type="dxa" w:w="864"/>
          </w:tcPr>
          <w:p>
            <w:r>
              <w:t>-15,000.00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-1,350.00</w:t>
            </w:r>
          </w:p>
        </w:tc>
        <w:tc>
          <w:tcPr>
            <w:tcW w:type="dxa" w:w="864"/>
          </w:tcPr>
          <w:p>
            <w:r>
              <w:t>-1,350.00</w:t>
            </w:r>
          </w:p>
        </w:tc>
        <w:tc>
          <w:tcPr>
            <w:tcW w:type="dxa" w:w="864"/>
          </w:tcPr>
          <w:p>
            <w:r>
              <w:t>-17,700.00</w:t>
            </w:r>
          </w:p>
        </w:tc>
      </w:tr>
    </w:tbl>
    <w:p>
      <w:pPr>
        <w:jc w:val="right"/>
      </w:pPr>
      <w:r>
        <w:rPr>
          <w:b w:val="0"/>
        </w:rPr>
        <w:t>Taxable value: Rs. 1,705,000.00</w:t>
      </w:r>
    </w:p>
    <w:p>
      <w:pPr>
        <w:jc w:val="right"/>
      </w:pPr>
      <w:r>
        <w:rPr>
          <w:b w:val="0"/>
        </w:rPr>
        <w:t>CGST + SGST: Rs. 306,900.00</w:t>
      </w:r>
    </w:p>
    <w:p>
      <w:pPr>
        <w:jc w:val="right"/>
      </w:pPr>
      <w:r>
        <w:rPr>
          <w:b/>
        </w:rPr>
        <w:t>Invoice total: Rs. 2,011,900.00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